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4D6A96" w14:textId="77777777" w:rsidR="00115C98" w:rsidRPr="00115C98" w:rsidRDefault="00115C98" w:rsidP="00115C98">
      <w:pPr>
        <w:spacing w:before="100" w:beforeAutospacing="1" w:after="100" w:afterAutospacing="1"/>
        <w:jc w:val="center"/>
        <w:outlineLvl w:val="0"/>
        <w:rPr>
          <w:rFonts w:ascii="Times" w:eastAsia="Times New Roman" w:hAnsi="Times" w:cs="Times New Roman"/>
          <w:b/>
          <w:bCs/>
          <w:kern w:val="36"/>
          <w:sz w:val="48"/>
          <w:szCs w:val="48"/>
        </w:rPr>
      </w:pPr>
      <w:r w:rsidRPr="00115C98">
        <w:rPr>
          <w:rFonts w:ascii="Times" w:eastAsia="Times New Roman" w:hAnsi="Times" w:cs="Times New Roman"/>
          <w:b/>
          <w:bCs/>
          <w:kern w:val="36"/>
          <w:sz w:val="48"/>
          <w:szCs w:val="48"/>
        </w:rPr>
        <w:t>Official Data Issued on China’s Balance of International Payments</w:t>
      </w:r>
    </w:p>
    <w:p w14:paraId="20FEE0D3" w14:textId="77777777" w:rsidR="00115C98" w:rsidRPr="00115C98" w:rsidRDefault="00115C98" w:rsidP="00115C98">
      <w:pPr>
        <w:jc w:val="both"/>
        <w:rPr>
          <w:rFonts w:ascii="Times" w:eastAsia="Times New Roman" w:hAnsi="Times" w:cs="Times New Roman"/>
        </w:rPr>
      </w:pPr>
      <w:r w:rsidRPr="00115C98">
        <w:rPr>
          <w:rFonts w:ascii="Times" w:eastAsia="Times New Roman" w:hAnsi="Times" w:cs="Times New Roman"/>
        </w:rPr>
        <w:t xml:space="preserve">Posted on </w:t>
      </w:r>
      <w:hyperlink r:id="rId6" w:tooltip="6:03 pm" w:history="1">
        <w:r w:rsidRPr="00115C98">
          <w:rPr>
            <w:rFonts w:ascii="Times" w:eastAsia="Times New Roman" w:hAnsi="Times" w:cs="Times New Roman"/>
            <w:color w:val="0000FF"/>
            <w:u w:val="single"/>
          </w:rPr>
          <w:t>September 17, 2012</w:t>
        </w:r>
      </w:hyperlink>
      <w:r w:rsidRPr="00115C98">
        <w:rPr>
          <w:rFonts w:ascii="Times" w:eastAsia="Times New Roman" w:hAnsi="Times" w:cs="Times New Roman"/>
        </w:rPr>
        <w:t xml:space="preserve"> by </w:t>
      </w:r>
      <w:hyperlink r:id="rId7" w:tooltip="View all posts by China Briefing" w:history="1">
        <w:r w:rsidRPr="00115C98">
          <w:rPr>
            <w:rFonts w:ascii="Times" w:eastAsia="Times New Roman" w:hAnsi="Times" w:cs="Times New Roman"/>
            <w:color w:val="0000FF"/>
            <w:u w:val="single"/>
          </w:rPr>
          <w:t>China Briefing</w:t>
        </w:r>
      </w:hyperlink>
      <w:r w:rsidRPr="00115C98">
        <w:rPr>
          <w:rFonts w:ascii="Times" w:eastAsia="Times New Roman" w:hAnsi="Times" w:cs="Times New Roman"/>
        </w:rPr>
        <w:t xml:space="preserve"> </w:t>
      </w:r>
    </w:p>
    <w:p w14:paraId="6D03BA71" w14:textId="77777777" w:rsidR="00115C98" w:rsidRPr="00115C98" w:rsidRDefault="00115C98" w:rsidP="00115C98">
      <w:pPr>
        <w:jc w:val="both"/>
        <w:rPr>
          <w:rFonts w:ascii="Times" w:eastAsia="Times New Roman" w:hAnsi="Times" w:cs="Times New Roman"/>
        </w:rPr>
      </w:pPr>
      <w:hyperlink r:id="rId8" w:history="1">
        <w:r w:rsidRPr="00115C98">
          <w:rPr>
            <w:rStyle w:val="Hyperlink"/>
            <w:rFonts w:ascii="Times" w:eastAsia="Times New Roman" w:hAnsi="Times" w:cs="Times New Roman"/>
          </w:rPr>
          <w:t>http://www.china-briefing.com/news/2012/09/17/official-data-issued-on-chinas-balance-of-international-payments.html</w:t>
        </w:r>
      </w:hyperlink>
    </w:p>
    <w:p w14:paraId="43147F4E" w14:textId="77777777" w:rsidR="00115C98" w:rsidRPr="00115C98" w:rsidRDefault="00115C98" w:rsidP="00115C98">
      <w:pPr>
        <w:jc w:val="both"/>
        <w:rPr>
          <w:rFonts w:ascii="Times" w:eastAsia="Times New Roman" w:hAnsi="Times" w:cs="Times New Roman"/>
        </w:rPr>
      </w:pPr>
    </w:p>
    <w:p w14:paraId="0464AFBA" w14:textId="77777777" w:rsidR="00115C98" w:rsidRPr="00115C98" w:rsidRDefault="00115C98" w:rsidP="00115C98">
      <w:pPr>
        <w:spacing w:before="100" w:beforeAutospacing="1" w:after="100" w:afterAutospacing="1"/>
        <w:jc w:val="both"/>
        <w:rPr>
          <w:rFonts w:ascii="Times" w:hAnsi="Times" w:cs="Times New Roman"/>
        </w:rPr>
      </w:pPr>
      <w:r w:rsidRPr="00115C98">
        <w:rPr>
          <w:rFonts w:ascii="Times" w:hAnsi="Times" w:cs="Times New Roman"/>
        </w:rPr>
        <w:t>Sept. 17 – China’s State Administration of Foreign Exchange (SAFE) recently released the official data on China’s balance of international payments for the second quarter and the first half of 2012. Details for the balance of international payments are listed below.</w:t>
      </w:r>
    </w:p>
    <w:p w14:paraId="25B624A0" w14:textId="77777777" w:rsidR="00115C98" w:rsidRPr="00115C98" w:rsidRDefault="00115C98" w:rsidP="00115C98">
      <w:pPr>
        <w:spacing w:before="100" w:beforeAutospacing="1" w:after="100" w:afterAutospacing="1"/>
        <w:jc w:val="both"/>
        <w:rPr>
          <w:rFonts w:ascii="Times" w:hAnsi="Times" w:cs="Times New Roman"/>
        </w:rPr>
      </w:pPr>
      <w:r w:rsidRPr="00115C98">
        <w:rPr>
          <w:rFonts w:ascii="Times" w:hAnsi="Times" w:cs="Times New Roman"/>
          <w:b/>
          <w:bCs/>
        </w:rPr>
        <w:t>In the second quarter of 2012, the surplus of current accounts reached US$53.7 billion, among which:</w:t>
      </w:r>
    </w:p>
    <w:p w14:paraId="57A7CE7D" w14:textId="77777777" w:rsidR="00115C98" w:rsidRPr="00115C98" w:rsidRDefault="00115C98" w:rsidP="00115C98">
      <w:pPr>
        <w:numPr>
          <w:ilvl w:val="0"/>
          <w:numId w:val="1"/>
        </w:numPr>
        <w:spacing w:before="100" w:beforeAutospacing="1" w:after="100" w:afterAutospacing="1"/>
        <w:jc w:val="both"/>
        <w:rPr>
          <w:rFonts w:ascii="Times" w:eastAsia="Times New Roman" w:hAnsi="Times" w:cs="Times New Roman"/>
        </w:rPr>
      </w:pPr>
      <w:r w:rsidRPr="00115C98">
        <w:rPr>
          <w:rFonts w:ascii="Times" w:eastAsia="Times New Roman" w:hAnsi="Times" w:cs="Times New Roman"/>
        </w:rPr>
        <w:t>Goods trade surplus stood at US$90.9 billion</w:t>
      </w:r>
    </w:p>
    <w:p w14:paraId="5BA96C5F" w14:textId="77777777" w:rsidR="00115C98" w:rsidRPr="00115C98" w:rsidRDefault="00115C98" w:rsidP="00115C98">
      <w:pPr>
        <w:numPr>
          <w:ilvl w:val="0"/>
          <w:numId w:val="1"/>
        </w:numPr>
        <w:spacing w:before="100" w:beforeAutospacing="1" w:after="100" w:afterAutospacing="1"/>
        <w:jc w:val="both"/>
        <w:rPr>
          <w:rFonts w:ascii="Times" w:eastAsia="Times New Roman" w:hAnsi="Times" w:cs="Times New Roman"/>
        </w:rPr>
      </w:pPr>
      <w:r w:rsidRPr="00115C98">
        <w:rPr>
          <w:rFonts w:ascii="Times" w:eastAsia="Times New Roman" w:hAnsi="Times" w:cs="Times New Roman"/>
        </w:rPr>
        <w:t>Service trade deficit amounted to US$22.2 billion</w:t>
      </w:r>
    </w:p>
    <w:p w14:paraId="0DAF65FC" w14:textId="77777777" w:rsidR="00115C98" w:rsidRPr="00115C98" w:rsidRDefault="00115C98" w:rsidP="00115C98">
      <w:pPr>
        <w:numPr>
          <w:ilvl w:val="0"/>
          <w:numId w:val="1"/>
        </w:numPr>
        <w:spacing w:before="100" w:beforeAutospacing="1" w:after="100" w:afterAutospacing="1"/>
        <w:jc w:val="both"/>
        <w:rPr>
          <w:rFonts w:ascii="Times" w:eastAsia="Times New Roman" w:hAnsi="Times" w:cs="Times New Roman"/>
        </w:rPr>
      </w:pPr>
      <w:r w:rsidRPr="00115C98">
        <w:rPr>
          <w:rFonts w:ascii="Times" w:eastAsia="Times New Roman" w:hAnsi="Times" w:cs="Times New Roman"/>
        </w:rPr>
        <w:t>Income deficit reached US$15.6 billion</w:t>
      </w:r>
    </w:p>
    <w:p w14:paraId="1CE8367C" w14:textId="77777777" w:rsidR="00115C98" w:rsidRPr="00115C98" w:rsidRDefault="00115C98" w:rsidP="00115C98">
      <w:pPr>
        <w:numPr>
          <w:ilvl w:val="0"/>
          <w:numId w:val="1"/>
        </w:numPr>
        <w:spacing w:before="100" w:beforeAutospacing="1" w:after="100" w:afterAutospacing="1"/>
        <w:jc w:val="both"/>
        <w:rPr>
          <w:rFonts w:ascii="Times" w:eastAsia="Times New Roman" w:hAnsi="Times" w:cs="Times New Roman"/>
        </w:rPr>
      </w:pPr>
      <w:r w:rsidRPr="00115C98">
        <w:rPr>
          <w:rFonts w:ascii="Times" w:eastAsia="Times New Roman" w:hAnsi="Times" w:cs="Times New Roman"/>
        </w:rPr>
        <w:t>Current transfer surplus achieved US$600 million</w:t>
      </w:r>
    </w:p>
    <w:p w14:paraId="137F06E5" w14:textId="77777777" w:rsidR="00115C98" w:rsidRPr="00115C98" w:rsidRDefault="00115C98" w:rsidP="00115C98">
      <w:pPr>
        <w:spacing w:before="100" w:beforeAutospacing="1" w:after="100" w:afterAutospacing="1"/>
        <w:jc w:val="both"/>
        <w:rPr>
          <w:rFonts w:ascii="Times" w:hAnsi="Times" w:cs="Times New Roman"/>
        </w:rPr>
      </w:pPr>
      <w:r w:rsidRPr="00115C98">
        <w:rPr>
          <w:rFonts w:ascii="Times" w:hAnsi="Times" w:cs="Times New Roman"/>
          <w:b/>
          <w:bCs/>
        </w:rPr>
        <w:t>The deficit of the capital and financial accounts amounted to US$41.2 billion, among which:</w:t>
      </w:r>
    </w:p>
    <w:p w14:paraId="0B383C7C" w14:textId="77777777" w:rsidR="00115C98" w:rsidRPr="00115C98" w:rsidRDefault="00115C98" w:rsidP="00115C98">
      <w:pPr>
        <w:numPr>
          <w:ilvl w:val="0"/>
          <w:numId w:val="2"/>
        </w:numPr>
        <w:spacing w:before="100" w:beforeAutospacing="1" w:after="100" w:afterAutospacing="1"/>
        <w:jc w:val="both"/>
        <w:rPr>
          <w:rFonts w:ascii="Times" w:eastAsia="Times New Roman" w:hAnsi="Times" w:cs="Times New Roman"/>
        </w:rPr>
      </w:pPr>
      <w:r w:rsidRPr="00115C98">
        <w:rPr>
          <w:rFonts w:ascii="Times" w:eastAsia="Times New Roman" w:hAnsi="Times" w:cs="Times New Roman"/>
        </w:rPr>
        <w:t>Net inflow of direct investment achieved US$41.1 billion</w:t>
      </w:r>
    </w:p>
    <w:p w14:paraId="07752ADB" w14:textId="77777777" w:rsidR="00115C98" w:rsidRPr="00115C98" w:rsidRDefault="00115C98" w:rsidP="00115C98">
      <w:pPr>
        <w:numPr>
          <w:ilvl w:val="0"/>
          <w:numId w:val="2"/>
        </w:numPr>
        <w:spacing w:before="100" w:beforeAutospacing="1" w:after="100" w:afterAutospacing="1"/>
        <w:jc w:val="both"/>
        <w:rPr>
          <w:rFonts w:ascii="Times" w:eastAsia="Times New Roman" w:hAnsi="Times" w:cs="Times New Roman"/>
        </w:rPr>
      </w:pPr>
      <w:r w:rsidRPr="00115C98">
        <w:rPr>
          <w:rFonts w:ascii="Times" w:eastAsia="Times New Roman" w:hAnsi="Times" w:cs="Times New Roman"/>
        </w:rPr>
        <w:t>Net inflow of securities investment reached US$11.1 billion</w:t>
      </w:r>
    </w:p>
    <w:p w14:paraId="34F9C3D0" w14:textId="77777777" w:rsidR="00115C98" w:rsidRPr="00115C98" w:rsidRDefault="00115C98" w:rsidP="00115C98">
      <w:pPr>
        <w:numPr>
          <w:ilvl w:val="0"/>
          <w:numId w:val="2"/>
        </w:numPr>
        <w:spacing w:before="100" w:beforeAutospacing="1" w:after="100" w:afterAutospacing="1"/>
        <w:jc w:val="both"/>
        <w:rPr>
          <w:rFonts w:ascii="Times" w:eastAsia="Times New Roman" w:hAnsi="Times" w:cs="Times New Roman"/>
        </w:rPr>
      </w:pPr>
      <w:r w:rsidRPr="00115C98">
        <w:rPr>
          <w:rFonts w:ascii="Times" w:eastAsia="Times New Roman" w:hAnsi="Times" w:cs="Times New Roman"/>
        </w:rPr>
        <w:t>Net outflow of other investments stood at US$94.4 billion</w:t>
      </w:r>
    </w:p>
    <w:p w14:paraId="6CD9DB80" w14:textId="77777777" w:rsidR="00115C98" w:rsidRPr="00115C98" w:rsidRDefault="00115C98" w:rsidP="00115C98">
      <w:pPr>
        <w:spacing w:before="100" w:beforeAutospacing="1" w:after="100" w:afterAutospacing="1"/>
        <w:jc w:val="both"/>
        <w:rPr>
          <w:rFonts w:ascii="Times" w:hAnsi="Times" w:cs="Times New Roman"/>
        </w:rPr>
      </w:pPr>
      <w:r w:rsidRPr="00115C98">
        <w:rPr>
          <w:rFonts w:ascii="Times" w:hAnsi="Times" w:cs="Times New Roman"/>
          <w:b/>
          <w:bCs/>
        </w:rPr>
        <w:t xml:space="preserve">International reserve assets </w:t>
      </w:r>
      <w:r w:rsidR="00B902EC">
        <w:rPr>
          <w:rFonts w:ascii="Times" w:hAnsi="Times" w:cs="Times New Roman"/>
          <w:b/>
          <w:bCs/>
        </w:rPr>
        <w:t>increased</w:t>
      </w:r>
      <w:r w:rsidRPr="00115C98">
        <w:rPr>
          <w:rFonts w:ascii="Times" w:hAnsi="Times" w:cs="Times New Roman"/>
          <w:b/>
          <w:bCs/>
        </w:rPr>
        <w:t xml:space="preserve"> by US$11.8 billion (excluding exchange rate, price and other non-trading value change effects), among which:</w:t>
      </w:r>
    </w:p>
    <w:p w14:paraId="7CC6AEA3" w14:textId="77777777" w:rsidR="00115C98" w:rsidRPr="00115C98" w:rsidRDefault="00115C98" w:rsidP="00115C98">
      <w:pPr>
        <w:numPr>
          <w:ilvl w:val="0"/>
          <w:numId w:val="3"/>
        </w:numPr>
        <w:spacing w:before="100" w:beforeAutospacing="1" w:after="100" w:afterAutospacing="1"/>
        <w:jc w:val="both"/>
        <w:rPr>
          <w:rFonts w:ascii="Times" w:eastAsia="Times New Roman" w:hAnsi="Times" w:cs="Times New Roman"/>
        </w:rPr>
      </w:pPr>
      <w:r w:rsidRPr="00115C98">
        <w:rPr>
          <w:rFonts w:ascii="Times" w:eastAsia="Times New Roman" w:hAnsi="Times" w:cs="Times New Roman"/>
        </w:rPr>
        <w:t xml:space="preserve">Foreign exchange reserves </w:t>
      </w:r>
      <w:r w:rsidR="00B902EC">
        <w:rPr>
          <w:rFonts w:ascii="Times" w:eastAsia="Times New Roman" w:hAnsi="Times" w:cs="Times New Roman"/>
        </w:rPr>
        <w:t>increased</w:t>
      </w:r>
      <w:r w:rsidRPr="00115C98">
        <w:rPr>
          <w:rFonts w:ascii="Times" w:eastAsia="Times New Roman" w:hAnsi="Times" w:cs="Times New Roman"/>
        </w:rPr>
        <w:t xml:space="preserve"> by US$11.2 billion</w:t>
      </w:r>
    </w:p>
    <w:p w14:paraId="6D26AE34" w14:textId="77777777" w:rsidR="00115C98" w:rsidRPr="00115C98" w:rsidRDefault="00115C98" w:rsidP="00115C98">
      <w:pPr>
        <w:numPr>
          <w:ilvl w:val="0"/>
          <w:numId w:val="3"/>
        </w:numPr>
        <w:spacing w:before="100" w:beforeAutospacing="1" w:after="100" w:afterAutospacing="1"/>
        <w:jc w:val="both"/>
        <w:rPr>
          <w:rFonts w:ascii="Times" w:eastAsia="Times New Roman" w:hAnsi="Times" w:cs="Times New Roman"/>
        </w:rPr>
      </w:pPr>
      <w:r w:rsidRPr="00115C98">
        <w:rPr>
          <w:rFonts w:ascii="Times" w:eastAsia="Times New Roman" w:hAnsi="Times" w:cs="Times New Roman"/>
        </w:rPr>
        <w:t xml:space="preserve">Special Drawing Rights and reserve position in fund organizations </w:t>
      </w:r>
      <w:r w:rsidR="00B902EC">
        <w:rPr>
          <w:rFonts w:ascii="Times" w:eastAsia="Times New Roman" w:hAnsi="Times" w:cs="Times New Roman"/>
        </w:rPr>
        <w:t>increased</w:t>
      </w:r>
      <w:bookmarkStart w:id="0" w:name="_GoBack"/>
      <w:bookmarkEnd w:id="0"/>
      <w:r w:rsidRPr="00115C98">
        <w:rPr>
          <w:rFonts w:ascii="Times" w:eastAsia="Times New Roman" w:hAnsi="Times" w:cs="Times New Roman"/>
        </w:rPr>
        <w:t xml:space="preserve"> by US$500 million</w:t>
      </w:r>
    </w:p>
    <w:p w14:paraId="7FF5FEFE" w14:textId="77777777" w:rsidR="00115C98" w:rsidRPr="00115C98" w:rsidRDefault="00115C98" w:rsidP="00115C98">
      <w:pPr>
        <w:spacing w:before="100" w:beforeAutospacing="1" w:after="100" w:afterAutospacing="1"/>
        <w:jc w:val="both"/>
        <w:rPr>
          <w:rFonts w:ascii="Times" w:hAnsi="Times" w:cs="Times New Roman"/>
        </w:rPr>
      </w:pPr>
      <w:r w:rsidRPr="00115C98">
        <w:rPr>
          <w:rFonts w:ascii="Times" w:hAnsi="Times" w:cs="Times New Roman"/>
        </w:rPr>
        <w:t>In the first half of 2012, the surplus of the current accounts for balance of international payments reached US$77.2 billion, taking up 2.1 percent of GDP over the same period; the surplus of the capital and financial accounts reached US$14.9 billion; and the international reserve assets increased by US$62.9 billion.</w:t>
      </w:r>
    </w:p>
    <w:p w14:paraId="1B444B17" w14:textId="77777777" w:rsidR="00C92C49" w:rsidRPr="00115C98" w:rsidRDefault="00C92C49"/>
    <w:sectPr w:rsidR="00C92C49" w:rsidRPr="00115C98"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F55EB"/>
    <w:multiLevelType w:val="multilevel"/>
    <w:tmpl w:val="A05EB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F144E7D"/>
    <w:multiLevelType w:val="multilevel"/>
    <w:tmpl w:val="947CB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59B3AE5"/>
    <w:multiLevelType w:val="multilevel"/>
    <w:tmpl w:val="38DCA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5C98"/>
    <w:rsid w:val="00115C98"/>
    <w:rsid w:val="00331560"/>
    <w:rsid w:val="004817EA"/>
    <w:rsid w:val="00B902EC"/>
    <w:rsid w:val="00C92C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F8E852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15C98"/>
    <w:pPr>
      <w:spacing w:before="100" w:beforeAutospacing="1" w:after="100" w:afterAutospacing="1"/>
      <w:outlineLvl w:val="0"/>
    </w:pPr>
    <w:rPr>
      <w:rFonts w:ascii="Times" w:hAnsi="Times"/>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5C98"/>
    <w:rPr>
      <w:rFonts w:ascii="Times" w:hAnsi="Times"/>
      <w:b/>
      <w:bCs/>
      <w:kern w:val="36"/>
      <w:sz w:val="48"/>
      <w:szCs w:val="48"/>
    </w:rPr>
  </w:style>
  <w:style w:type="character" w:customStyle="1" w:styleId="meta-prep">
    <w:name w:val="meta-prep"/>
    <w:basedOn w:val="DefaultParagraphFont"/>
    <w:rsid w:val="00115C98"/>
  </w:style>
  <w:style w:type="character" w:styleId="Hyperlink">
    <w:name w:val="Hyperlink"/>
    <w:basedOn w:val="DefaultParagraphFont"/>
    <w:uiPriority w:val="99"/>
    <w:unhideWhenUsed/>
    <w:rsid w:val="00115C98"/>
    <w:rPr>
      <w:color w:val="0000FF"/>
      <w:u w:val="single"/>
    </w:rPr>
  </w:style>
  <w:style w:type="character" w:customStyle="1" w:styleId="entry-date">
    <w:name w:val="entry-date"/>
    <w:basedOn w:val="DefaultParagraphFont"/>
    <w:rsid w:val="00115C98"/>
  </w:style>
  <w:style w:type="character" w:customStyle="1" w:styleId="meta-sep">
    <w:name w:val="meta-sep"/>
    <w:basedOn w:val="DefaultParagraphFont"/>
    <w:rsid w:val="00115C98"/>
  </w:style>
  <w:style w:type="character" w:customStyle="1" w:styleId="author">
    <w:name w:val="author"/>
    <w:basedOn w:val="DefaultParagraphFont"/>
    <w:rsid w:val="00115C98"/>
  </w:style>
  <w:style w:type="paragraph" w:styleId="NormalWeb">
    <w:name w:val="Normal (Web)"/>
    <w:basedOn w:val="Normal"/>
    <w:uiPriority w:val="99"/>
    <w:semiHidden/>
    <w:unhideWhenUsed/>
    <w:rsid w:val="00115C98"/>
    <w:pPr>
      <w:spacing w:before="100" w:beforeAutospacing="1" w:after="100" w:afterAutospacing="1"/>
    </w:pPr>
    <w:rPr>
      <w:rFonts w:ascii="Times" w:hAnsi="Times" w:cs="Times New Roman"/>
      <w:sz w:val="20"/>
      <w:szCs w:val="20"/>
    </w:rPr>
  </w:style>
  <w:style w:type="character" w:styleId="Strong">
    <w:name w:val="Strong"/>
    <w:basedOn w:val="DefaultParagraphFont"/>
    <w:uiPriority w:val="22"/>
    <w:qFormat/>
    <w:rsid w:val="00115C98"/>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15C98"/>
    <w:pPr>
      <w:spacing w:before="100" w:beforeAutospacing="1" w:after="100" w:afterAutospacing="1"/>
      <w:outlineLvl w:val="0"/>
    </w:pPr>
    <w:rPr>
      <w:rFonts w:ascii="Times" w:hAnsi="Times"/>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5C98"/>
    <w:rPr>
      <w:rFonts w:ascii="Times" w:hAnsi="Times"/>
      <w:b/>
      <w:bCs/>
      <w:kern w:val="36"/>
      <w:sz w:val="48"/>
      <w:szCs w:val="48"/>
    </w:rPr>
  </w:style>
  <w:style w:type="character" w:customStyle="1" w:styleId="meta-prep">
    <w:name w:val="meta-prep"/>
    <w:basedOn w:val="DefaultParagraphFont"/>
    <w:rsid w:val="00115C98"/>
  </w:style>
  <w:style w:type="character" w:styleId="Hyperlink">
    <w:name w:val="Hyperlink"/>
    <w:basedOn w:val="DefaultParagraphFont"/>
    <w:uiPriority w:val="99"/>
    <w:unhideWhenUsed/>
    <w:rsid w:val="00115C98"/>
    <w:rPr>
      <w:color w:val="0000FF"/>
      <w:u w:val="single"/>
    </w:rPr>
  </w:style>
  <w:style w:type="character" w:customStyle="1" w:styleId="entry-date">
    <w:name w:val="entry-date"/>
    <w:basedOn w:val="DefaultParagraphFont"/>
    <w:rsid w:val="00115C98"/>
  </w:style>
  <w:style w:type="character" w:customStyle="1" w:styleId="meta-sep">
    <w:name w:val="meta-sep"/>
    <w:basedOn w:val="DefaultParagraphFont"/>
    <w:rsid w:val="00115C98"/>
  </w:style>
  <w:style w:type="character" w:customStyle="1" w:styleId="author">
    <w:name w:val="author"/>
    <w:basedOn w:val="DefaultParagraphFont"/>
    <w:rsid w:val="00115C98"/>
  </w:style>
  <w:style w:type="paragraph" w:styleId="NormalWeb">
    <w:name w:val="Normal (Web)"/>
    <w:basedOn w:val="Normal"/>
    <w:uiPriority w:val="99"/>
    <w:semiHidden/>
    <w:unhideWhenUsed/>
    <w:rsid w:val="00115C98"/>
    <w:pPr>
      <w:spacing w:before="100" w:beforeAutospacing="1" w:after="100" w:afterAutospacing="1"/>
    </w:pPr>
    <w:rPr>
      <w:rFonts w:ascii="Times" w:hAnsi="Times" w:cs="Times New Roman"/>
      <w:sz w:val="20"/>
      <w:szCs w:val="20"/>
    </w:rPr>
  </w:style>
  <w:style w:type="character" w:styleId="Strong">
    <w:name w:val="Strong"/>
    <w:basedOn w:val="DefaultParagraphFont"/>
    <w:uiPriority w:val="22"/>
    <w:qFormat/>
    <w:rsid w:val="00115C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38440">
      <w:bodyDiv w:val="1"/>
      <w:marLeft w:val="0"/>
      <w:marRight w:val="0"/>
      <w:marTop w:val="0"/>
      <w:marBottom w:val="0"/>
      <w:divBdr>
        <w:top w:val="none" w:sz="0" w:space="0" w:color="auto"/>
        <w:left w:val="none" w:sz="0" w:space="0" w:color="auto"/>
        <w:bottom w:val="none" w:sz="0" w:space="0" w:color="auto"/>
        <w:right w:val="none" w:sz="0" w:space="0" w:color="auto"/>
      </w:divBdr>
      <w:divsChild>
        <w:div w:id="1437289291">
          <w:marLeft w:val="0"/>
          <w:marRight w:val="0"/>
          <w:marTop w:val="0"/>
          <w:marBottom w:val="0"/>
          <w:divBdr>
            <w:top w:val="none" w:sz="0" w:space="0" w:color="auto"/>
            <w:left w:val="none" w:sz="0" w:space="0" w:color="auto"/>
            <w:bottom w:val="none" w:sz="0" w:space="0" w:color="auto"/>
            <w:right w:val="none" w:sz="0" w:space="0" w:color="auto"/>
          </w:divBdr>
        </w:div>
        <w:div w:id="1739286869">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china-briefing.com/news/2012/09/17/official-data-issued-on-chinas-balance-of-international-payments.html" TargetMode="External"/><Relationship Id="rId7" Type="http://schemas.openxmlformats.org/officeDocument/2006/relationships/hyperlink" Target="http://www.china-briefing.com/news/author/china-briefing" TargetMode="External"/><Relationship Id="rId8" Type="http://schemas.openxmlformats.org/officeDocument/2006/relationships/hyperlink" Target="http://www.china-briefing.com/news/2012/09/17/official-data-issued-on-chinas-balance-of-international-payments.html"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306</Words>
  <Characters>1750</Characters>
  <Application>Microsoft Macintosh Word</Application>
  <DocSecurity>0</DocSecurity>
  <Lines>14</Lines>
  <Paragraphs>4</Paragraphs>
  <ScaleCrop>false</ScaleCrop>
  <Company>DCS</Company>
  <LinksUpToDate>false</LinksUpToDate>
  <CharactersWithSpaces>2052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2</cp:revision>
  <cp:lastPrinted>2012-11-06T01:30:00Z</cp:lastPrinted>
  <dcterms:created xsi:type="dcterms:W3CDTF">2012-11-06T01:23:00Z</dcterms:created>
  <dcterms:modified xsi:type="dcterms:W3CDTF">2012-11-06T04:06:00Z</dcterms:modified>
</cp:coreProperties>
</file>